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63" w:rsidRPr="00F510E1" w:rsidRDefault="00733563" w:rsidP="00733563">
      <w:pPr>
        <w:spacing w:after="0" w:line="240" w:lineRule="auto"/>
        <w:contextualSpacing/>
        <w:jc w:val="both"/>
        <w:rPr>
          <w:rFonts w:ascii="Times New Roman" w:hAnsi="Times New Roman" w:cs="Times New Roman"/>
          <w:lang w:val="fr-FR"/>
        </w:rPr>
      </w:pPr>
    </w:p>
    <w:p w:rsidR="00733563" w:rsidRPr="00F510E1" w:rsidRDefault="00733563" w:rsidP="00733563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fr-FR"/>
        </w:rPr>
      </w:pPr>
    </w:p>
    <w:p w:rsidR="00733563" w:rsidRPr="00F510E1" w:rsidRDefault="00D8332D" w:rsidP="00733563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Paris,</w:t>
      </w:r>
      <w:r w:rsidR="00661BE2">
        <w:rPr>
          <w:rFonts w:ascii="Times New Roman" w:hAnsi="Times New Roman" w:cs="Times New Roman"/>
          <w:lang w:val="fr-FR"/>
        </w:rPr>
        <w:t xml:space="preserve"> le</w:t>
      </w:r>
      <w:r>
        <w:rPr>
          <w:rFonts w:ascii="Times New Roman" w:hAnsi="Times New Roman" w:cs="Times New Roman"/>
          <w:lang w:val="fr-FR"/>
        </w:rPr>
        <w:t xml:space="preserve"> </w:t>
      </w:r>
      <w:r w:rsidR="00F131AA">
        <w:rPr>
          <w:rFonts w:ascii="Times New Roman" w:hAnsi="Times New Roman" w:cs="Times New Roman"/>
          <w:lang w:val="fr-FR"/>
        </w:rPr>
        <w:t>l</w:t>
      </w:r>
      <w:r w:rsidR="009B61FF">
        <w:rPr>
          <w:rFonts w:ascii="Times New Roman" w:hAnsi="Times New Roman" w:cs="Times New Roman"/>
          <w:lang w:val="fr-FR"/>
        </w:rPr>
        <w:t>undi 20</w:t>
      </w:r>
      <w:r w:rsidR="00F131AA">
        <w:rPr>
          <w:rFonts w:ascii="Times New Roman" w:hAnsi="Times New Roman" w:cs="Times New Roman"/>
          <w:lang w:val="fr-FR"/>
        </w:rPr>
        <w:t xml:space="preserve"> j</w:t>
      </w:r>
      <w:r w:rsidR="00733563" w:rsidRPr="00F510E1">
        <w:rPr>
          <w:rFonts w:ascii="Times New Roman" w:hAnsi="Times New Roman" w:cs="Times New Roman"/>
          <w:lang w:val="fr-FR"/>
        </w:rPr>
        <w:t>uillet 2015</w:t>
      </w:r>
    </w:p>
    <w:p w:rsidR="00733563" w:rsidRPr="00F510E1" w:rsidRDefault="00733563" w:rsidP="00733563">
      <w:pPr>
        <w:spacing w:after="0" w:line="240" w:lineRule="auto"/>
        <w:contextualSpacing/>
        <w:jc w:val="both"/>
        <w:rPr>
          <w:rFonts w:ascii="Times New Roman" w:hAnsi="Times New Roman" w:cs="Times New Roman"/>
          <w:lang w:val="fr-FR"/>
        </w:rPr>
      </w:pPr>
    </w:p>
    <w:p w:rsidR="008F760D" w:rsidRDefault="008F760D" w:rsidP="00733563">
      <w:pPr>
        <w:spacing w:after="0" w:line="240" w:lineRule="auto"/>
        <w:contextualSpacing/>
        <w:jc w:val="both"/>
        <w:rPr>
          <w:rFonts w:ascii="Times New Roman" w:hAnsi="Times New Roman" w:cs="Times New Roman"/>
          <w:lang w:val="fr-FR"/>
        </w:rPr>
      </w:pPr>
    </w:p>
    <w:p w:rsidR="008F760D" w:rsidRDefault="008F760D" w:rsidP="00733563">
      <w:pPr>
        <w:spacing w:after="0" w:line="240" w:lineRule="auto"/>
        <w:contextualSpacing/>
        <w:jc w:val="both"/>
        <w:rPr>
          <w:rFonts w:ascii="Times New Roman" w:hAnsi="Times New Roman" w:cs="Times New Roman"/>
          <w:lang w:val="fr-FR"/>
        </w:rPr>
      </w:pPr>
    </w:p>
    <w:p w:rsidR="00733563" w:rsidRPr="00F510E1" w:rsidRDefault="00733563" w:rsidP="0074729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lang w:val="fr-FR"/>
        </w:rPr>
      </w:pPr>
      <w:r w:rsidRPr="00F510E1">
        <w:rPr>
          <w:rFonts w:ascii="Times New Roman" w:hAnsi="Times New Roman" w:cs="Times New Roman"/>
          <w:lang w:val="fr-FR"/>
        </w:rPr>
        <w:t xml:space="preserve">La </w:t>
      </w:r>
      <w:r w:rsidRPr="009B61FF">
        <w:rPr>
          <w:rFonts w:ascii="Times New Roman" w:hAnsi="Times New Roman" w:cs="Times New Roman"/>
          <w:b/>
          <w:lang w:val="fr-FR"/>
        </w:rPr>
        <w:t>cinquième édition 2015 de l’appel à projets en soutien à la coopération décentralisée France-Mexique</w:t>
      </w:r>
      <w:r w:rsidRPr="00F510E1">
        <w:rPr>
          <w:rFonts w:ascii="Times New Roman" w:hAnsi="Times New Roman" w:cs="Times New Roman"/>
          <w:lang w:val="fr-FR"/>
        </w:rPr>
        <w:t xml:space="preserve"> a été lancée conjointement par les ministères des Affaires étrangères </w:t>
      </w:r>
      <w:r w:rsidR="00271351" w:rsidRPr="00F510E1">
        <w:rPr>
          <w:rFonts w:ascii="Times New Roman" w:hAnsi="Times New Roman" w:cs="Times New Roman"/>
          <w:lang w:val="fr-FR"/>
        </w:rPr>
        <w:t>français</w:t>
      </w:r>
      <w:r w:rsidRPr="00F510E1">
        <w:rPr>
          <w:rFonts w:ascii="Times New Roman" w:hAnsi="Times New Roman" w:cs="Times New Roman"/>
          <w:lang w:val="fr-FR"/>
        </w:rPr>
        <w:t xml:space="preserve"> (Délégation pour l’action </w:t>
      </w:r>
      <w:r w:rsidR="00271351" w:rsidRPr="00F510E1">
        <w:rPr>
          <w:rFonts w:ascii="Times New Roman" w:hAnsi="Times New Roman" w:cs="Times New Roman"/>
          <w:lang w:val="fr-FR"/>
        </w:rPr>
        <w:t>extérieure</w:t>
      </w:r>
      <w:r w:rsidRPr="00F510E1">
        <w:rPr>
          <w:rFonts w:ascii="Times New Roman" w:hAnsi="Times New Roman" w:cs="Times New Roman"/>
          <w:lang w:val="fr-FR"/>
        </w:rPr>
        <w:t xml:space="preserve"> des collectivités – DAECT) et mexicain (Agence mexicaine de coopération internationale pour le </w:t>
      </w:r>
      <w:r w:rsidR="00271351" w:rsidRPr="00F510E1">
        <w:rPr>
          <w:rFonts w:ascii="Times New Roman" w:hAnsi="Times New Roman" w:cs="Times New Roman"/>
          <w:lang w:val="fr-FR"/>
        </w:rPr>
        <w:t>développement</w:t>
      </w:r>
      <w:r w:rsidRPr="00F510E1">
        <w:rPr>
          <w:rFonts w:ascii="Times New Roman" w:hAnsi="Times New Roman" w:cs="Times New Roman"/>
          <w:lang w:val="fr-FR"/>
        </w:rPr>
        <w:t xml:space="preserve"> – AMEXCID) le </w:t>
      </w:r>
      <w:r w:rsidR="009B61FF">
        <w:rPr>
          <w:rFonts w:ascii="Times New Roman" w:hAnsi="Times New Roman" w:cs="Times New Roman"/>
          <w:lang w:val="fr-FR"/>
        </w:rPr>
        <w:t xml:space="preserve">mardi </w:t>
      </w:r>
      <w:r w:rsidR="00271351">
        <w:rPr>
          <w:rFonts w:ascii="Times New Roman" w:hAnsi="Times New Roman" w:cs="Times New Roman"/>
          <w:lang w:val="fr-FR"/>
        </w:rPr>
        <w:t>19</w:t>
      </w:r>
      <w:r w:rsidR="009B61FF">
        <w:rPr>
          <w:rFonts w:ascii="Times New Roman" w:hAnsi="Times New Roman" w:cs="Times New Roman"/>
          <w:lang w:val="fr-FR"/>
        </w:rPr>
        <w:t xml:space="preserve"> mai dernier. </w:t>
      </w:r>
    </w:p>
    <w:p w:rsidR="00733563" w:rsidRPr="00F510E1" w:rsidRDefault="00733563" w:rsidP="00747298">
      <w:pPr>
        <w:spacing w:after="0" w:line="276" w:lineRule="auto"/>
        <w:contextualSpacing/>
        <w:jc w:val="both"/>
        <w:rPr>
          <w:rFonts w:ascii="Times New Roman" w:hAnsi="Times New Roman" w:cs="Times New Roman"/>
          <w:lang w:val="fr-FR"/>
        </w:rPr>
      </w:pPr>
    </w:p>
    <w:p w:rsidR="00733563" w:rsidRDefault="00733563" w:rsidP="0074729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lang w:val="fr-FR"/>
        </w:rPr>
      </w:pPr>
      <w:r w:rsidRPr="00F510E1">
        <w:rPr>
          <w:rFonts w:ascii="Times New Roman" w:hAnsi="Times New Roman" w:cs="Times New Roman"/>
          <w:lang w:val="fr-FR"/>
        </w:rPr>
        <w:t xml:space="preserve">La date </w:t>
      </w:r>
      <w:r w:rsidR="00F510E1" w:rsidRPr="00F510E1">
        <w:rPr>
          <w:rFonts w:ascii="Times New Roman" w:hAnsi="Times New Roman" w:cs="Times New Roman"/>
          <w:lang w:val="fr-FR"/>
        </w:rPr>
        <w:t xml:space="preserve">limite de dépôt des dossiers de candidature, </w:t>
      </w:r>
      <w:r w:rsidR="009B61FF" w:rsidRPr="00F510E1">
        <w:rPr>
          <w:rFonts w:ascii="Times New Roman" w:hAnsi="Times New Roman" w:cs="Times New Roman"/>
          <w:lang w:val="fr-FR"/>
        </w:rPr>
        <w:t>initialement</w:t>
      </w:r>
      <w:r w:rsidR="00F510E1" w:rsidRPr="00F510E1">
        <w:rPr>
          <w:rFonts w:ascii="Times New Roman" w:hAnsi="Times New Roman" w:cs="Times New Roman"/>
          <w:lang w:val="fr-FR"/>
        </w:rPr>
        <w:t xml:space="preserve"> prévue le 25 juillet</w:t>
      </w:r>
      <w:r w:rsidR="009B61FF">
        <w:rPr>
          <w:rFonts w:ascii="Times New Roman" w:hAnsi="Times New Roman" w:cs="Times New Roman"/>
          <w:lang w:val="fr-FR"/>
        </w:rPr>
        <w:t xml:space="preserve"> 2015</w:t>
      </w:r>
      <w:r w:rsidR="00F510E1" w:rsidRPr="00F510E1">
        <w:rPr>
          <w:rFonts w:ascii="Times New Roman" w:hAnsi="Times New Roman" w:cs="Times New Roman"/>
          <w:lang w:val="fr-FR"/>
        </w:rPr>
        <w:t xml:space="preserve">, </w:t>
      </w:r>
      <w:r w:rsidR="00F131AA">
        <w:rPr>
          <w:rFonts w:ascii="Times New Roman" w:hAnsi="Times New Roman" w:cs="Times New Roman"/>
          <w:lang w:val="fr-FR"/>
        </w:rPr>
        <w:t>est</w:t>
      </w:r>
      <w:r w:rsidRPr="00F510E1">
        <w:rPr>
          <w:rFonts w:ascii="Times New Roman" w:hAnsi="Times New Roman" w:cs="Times New Roman"/>
          <w:lang w:val="fr-FR"/>
        </w:rPr>
        <w:t xml:space="preserve"> re</w:t>
      </w:r>
      <w:r w:rsidR="00CE203D">
        <w:rPr>
          <w:rFonts w:ascii="Times New Roman" w:hAnsi="Times New Roman" w:cs="Times New Roman"/>
          <w:lang w:val="fr-FR"/>
        </w:rPr>
        <w:t>portée</w:t>
      </w:r>
      <w:r w:rsidRPr="00F510E1">
        <w:rPr>
          <w:rFonts w:ascii="Times New Roman" w:hAnsi="Times New Roman" w:cs="Times New Roman"/>
          <w:lang w:val="fr-FR"/>
        </w:rPr>
        <w:t xml:space="preserve"> au </w:t>
      </w:r>
      <w:r w:rsidR="00F510E1" w:rsidRPr="00F510E1">
        <w:rPr>
          <w:rFonts w:ascii="Times New Roman" w:hAnsi="Times New Roman" w:cs="Times New Roman"/>
          <w:b/>
          <w:u w:val="single"/>
          <w:lang w:val="fr-FR"/>
        </w:rPr>
        <w:t xml:space="preserve">vendredi 11 septembre </w:t>
      </w:r>
      <w:r w:rsidR="00F510E1" w:rsidRPr="00F055B1">
        <w:rPr>
          <w:rFonts w:ascii="Times New Roman" w:hAnsi="Times New Roman" w:cs="Times New Roman"/>
          <w:b/>
          <w:u w:val="single"/>
          <w:lang w:val="fr-FR"/>
        </w:rPr>
        <w:t>2015</w:t>
      </w:r>
      <w:r w:rsidR="009B61FF">
        <w:rPr>
          <w:rFonts w:ascii="Times New Roman" w:hAnsi="Times New Roman" w:cs="Times New Roman"/>
          <w:lang w:val="fr-FR"/>
        </w:rPr>
        <w:t xml:space="preserve">, </w:t>
      </w:r>
      <w:r w:rsidR="009B61FF" w:rsidRPr="009B61FF">
        <w:rPr>
          <w:rFonts w:ascii="Times New Roman" w:hAnsi="Times New Roman" w:cs="Times New Roman"/>
          <w:lang w:val="fr-FR"/>
        </w:rPr>
        <w:t xml:space="preserve">afin de permettre </w:t>
      </w:r>
      <w:r w:rsidR="00CE203D">
        <w:rPr>
          <w:rFonts w:ascii="Times New Roman" w:hAnsi="Times New Roman" w:cs="Times New Roman"/>
          <w:lang w:val="fr-FR"/>
        </w:rPr>
        <w:t>à plusieurs</w:t>
      </w:r>
      <w:r w:rsidR="009B61FF" w:rsidRPr="009B61FF">
        <w:rPr>
          <w:rFonts w:ascii="Times New Roman" w:hAnsi="Times New Roman" w:cs="Times New Roman"/>
          <w:lang w:val="fr-FR"/>
        </w:rPr>
        <w:t xml:space="preserve"> collectivités territoriales françaises et mexicaines</w:t>
      </w:r>
      <w:r w:rsidR="009B61FF">
        <w:rPr>
          <w:rFonts w:ascii="Times New Roman" w:hAnsi="Times New Roman" w:cs="Times New Roman"/>
          <w:lang w:val="fr-FR"/>
        </w:rPr>
        <w:t xml:space="preserve"> de postuler</w:t>
      </w:r>
      <w:r w:rsidR="00F131AA">
        <w:rPr>
          <w:rFonts w:ascii="Times New Roman" w:hAnsi="Times New Roman" w:cs="Times New Roman"/>
          <w:lang w:val="fr-FR"/>
        </w:rPr>
        <w:t xml:space="preserve"> à cet appel à projets</w:t>
      </w:r>
      <w:r w:rsidR="009B61FF" w:rsidRPr="009B61FF">
        <w:rPr>
          <w:rFonts w:ascii="Times New Roman" w:hAnsi="Times New Roman" w:cs="Times New Roman"/>
          <w:lang w:val="fr-FR"/>
        </w:rPr>
        <w:t xml:space="preserve">. </w:t>
      </w:r>
      <w:r w:rsidR="00F510E1" w:rsidRPr="00F510E1">
        <w:rPr>
          <w:rFonts w:ascii="Times New Roman" w:hAnsi="Times New Roman" w:cs="Times New Roman"/>
          <w:lang w:val="fr-FR"/>
        </w:rPr>
        <w:t>Les résultats de l’instructio</w:t>
      </w:r>
      <w:r w:rsidR="0076113D">
        <w:rPr>
          <w:rFonts w:ascii="Times New Roman" w:hAnsi="Times New Roman" w:cs="Times New Roman"/>
          <w:lang w:val="fr-FR"/>
        </w:rPr>
        <w:t xml:space="preserve">n du dossier seront connus le </w:t>
      </w:r>
      <w:r w:rsidR="00F62764">
        <w:rPr>
          <w:rFonts w:ascii="Times New Roman" w:hAnsi="Times New Roman" w:cs="Times New Roman"/>
          <w:lang w:val="fr-FR"/>
        </w:rPr>
        <w:t xml:space="preserve">vendredi </w:t>
      </w:r>
      <w:r w:rsidR="0076113D">
        <w:rPr>
          <w:rFonts w:ascii="Times New Roman" w:hAnsi="Times New Roman" w:cs="Times New Roman"/>
          <w:lang w:val="fr-FR"/>
        </w:rPr>
        <w:t>16</w:t>
      </w:r>
      <w:r w:rsidR="00F510E1" w:rsidRPr="00F510E1">
        <w:rPr>
          <w:rFonts w:ascii="Times New Roman" w:hAnsi="Times New Roman" w:cs="Times New Roman"/>
          <w:lang w:val="fr-FR"/>
        </w:rPr>
        <w:t xml:space="preserve"> octobre 2015 au plus tard. La date limite de dépôt du rapport final d’exécution technique et financier ne change pas. </w:t>
      </w:r>
    </w:p>
    <w:p w:rsidR="00BE4DAE" w:rsidRDefault="00BE4DAE" w:rsidP="00733563">
      <w:pPr>
        <w:spacing w:after="0" w:line="240" w:lineRule="auto"/>
        <w:contextualSpacing/>
        <w:jc w:val="both"/>
        <w:rPr>
          <w:rFonts w:ascii="Times New Roman" w:hAnsi="Times New Roman" w:cs="Times New Roman"/>
          <w:lang w:val="fr-FR"/>
        </w:rPr>
      </w:pPr>
      <w:bookmarkStart w:id="0" w:name="_GoBack"/>
      <w:bookmarkEnd w:id="0"/>
    </w:p>
    <w:p w:rsidR="008F760D" w:rsidRDefault="008F760D" w:rsidP="00733563">
      <w:pPr>
        <w:spacing w:after="0" w:line="240" w:lineRule="auto"/>
        <w:contextualSpacing/>
        <w:jc w:val="both"/>
        <w:rPr>
          <w:rFonts w:ascii="Times New Roman" w:hAnsi="Times New Roman" w:cs="Times New Roman"/>
          <w:lang w:val="fr-FR"/>
        </w:rPr>
      </w:pPr>
    </w:p>
    <w:p w:rsidR="00F131AA" w:rsidRDefault="00F131AA" w:rsidP="00733563">
      <w:pPr>
        <w:spacing w:after="0" w:line="240" w:lineRule="auto"/>
        <w:contextualSpacing/>
        <w:jc w:val="both"/>
        <w:rPr>
          <w:rFonts w:ascii="Times New Roman" w:hAnsi="Times New Roman" w:cs="Times New Roman"/>
          <w:lang w:val="fr-FR"/>
        </w:rPr>
      </w:pPr>
    </w:p>
    <w:p w:rsidR="00F131AA" w:rsidRDefault="00F131AA" w:rsidP="00733563">
      <w:pPr>
        <w:spacing w:after="0" w:line="240" w:lineRule="auto"/>
        <w:contextualSpacing/>
        <w:jc w:val="both"/>
        <w:rPr>
          <w:rFonts w:ascii="Times New Roman" w:hAnsi="Times New Roman" w:cs="Times New Roman"/>
          <w:lang w:val="fr-FR"/>
        </w:rPr>
      </w:pPr>
    </w:p>
    <w:p w:rsidR="008F760D" w:rsidRPr="00F055B1" w:rsidRDefault="0076113D" w:rsidP="00733563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  <w:lang w:val="fr-FR"/>
        </w:rPr>
      </w:pPr>
      <w:r w:rsidRPr="00F055B1">
        <w:rPr>
          <w:rFonts w:ascii="Times New Roman" w:hAnsi="Times New Roman" w:cs="Times New Roman"/>
          <w:u w:val="single"/>
          <w:lang w:val="fr-FR"/>
        </w:rPr>
        <w:t xml:space="preserve">Contacts : </w:t>
      </w:r>
    </w:p>
    <w:p w:rsidR="00F510E1" w:rsidRPr="00F055B1" w:rsidRDefault="00F510E1" w:rsidP="00BE4DAE">
      <w:pPr>
        <w:pStyle w:val="CM9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055B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208"/>
        <w:gridCol w:w="4392"/>
      </w:tblGrid>
      <w:tr w:rsidR="00F510E1" w:rsidRPr="00747298" w:rsidTr="00F510E1">
        <w:tc>
          <w:tcPr>
            <w:tcW w:w="5211" w:type="dxa"/>
            <w:hideMark/>
          </w:tcPr>
          <w:p w:rsidR="00F510E1" w:rsidRPr="00F131AA" w:rsidRDefault="00F510E1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fr-FR"/>
              </w:rPr>
            </w:pPr>
            <w:r w:rsidRPr="00F131AA">
              <w:rPr>
                <w:rFonts w:ascii="Times New Roman" w:hAnsi="Times New Roman" w:cs="Times New Roman"/>
                <w:lang w:val="fr-FR"/>
              </w:rPr>
              <w:t xml:space="preserve">Ministère des Affaires étrangères et du </w:t>
            </w:r>
          </w:p>
          <w:p w:rsidR="00F510E1" w:rsidRPr="00F131AA" w:rsidRDefault="00F510E1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fr-FR"/>
              </w:rPr>
            </w:pPr>
            <w:r w:rsidRPr="00F131AA">
              <w:rPr>
                <w:rFonts w:ascii="Times New Roman" w:hAnsi="Times New Roman" w:cs="Times New Roman"/>
                <w:lang w:val="fr-FR"/>
              </w:rPr>
              <w:t xml:space="preserve">Développement international, France </w:t>
            </w:r>
          </w:p>
          <w:p w:rsidR="00F510E1" w:rsidRPr="00F131AA" w:rsidRDefault="00F510E1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fr-FR"/>
              </w:rPr>
            </w:pPr>
            <w:r w:rsidRPr="00F131AA">
              <w:rPr>
                <w:rFonts w:ascii="Times New Roman" w:hAnsi="Times New Roman" w:cs="Times New Roman"/>
                <w:lang w:val="fr-FR"/>
              </w:rPr>
              <w:t>Délégation pour l’action extérieure des collectivités</w:t>
            </w:r>
          </w:p>
          <w:p w:rsidR="00F510E1" w:rsidRPr="00F131AA" w:rsidRDefault="00F510E1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31AA">
              <w:rPr>
                <w:rFonts w:ascii="Times New Roman" w:hAnsi="Times New Roman" w:cs="Times New Roman"/>
              </w:rPr>
              <w:t>territoriales (DAECT)</w:t>
            </w:r>
          </w:p>
        </w:tc>
        <w:tc>
          <w:tcPr>
            <w:tcW w:w="4395" w:type="dxa"/>
            <w:hideMark/>
          </w:tcPr>
          <w:p w:rsidR="004A787D" w:rsidRPr="00F131AA" w:rsidRDefault="00F131AA" w:rsidP="004A78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fr-FR"/>
              </w:rPr>
            </w:pPr>
            <w:r w:rsidRPr="00F131AA">
              <w:rPr>
                <w:rFonts w:ascii="Times New Roman" w:hAnsi="Times New Roman" w:cs="Times New Roman"/>
                <w:lang w:val="fr-FR"/>
              </w:rPr>
              <w:t>Bertrand Fort, Délégué</w:t>
            </w:r>
          </w:p>
          <w:p w:rsidR="00F510E1" w:rsidRDefault="00B3417C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fr-FR"/>
              </w:rPr>
            </w:pPr>
            <w:hyperlink r:id="rId7" w:history="1">
              <w:r w:rsidR="00F131AA" w:rsidRPr="0097195B">
                <w:rPr>
                  <w:rStyle w:val="Lienhypertexte"/>
                  <w:rFonts w:ascii="Times New Roman" w:hAnsi="Times New Roman" w:cs="Times New Roman"/>
                  <w:lang w:val="fr-FR"/>
                </w:rPr>
                <w:t>bertrand.fort@diplomatie.gouv.fr</w:t>
              </w:r>
            </w:hyperlink>
          </w:p>
          <w:p w:rsidR="00F131AA" w:rsidRDefault="00F131AA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Martine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Zejgman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, Déléguée adjointe</w:t>
            </w:r>
          </w:p>
          <w:p w:rsidR="00F131AA" w:rsidRPr="00747298" w:rsidRDefault="00B3417C" w:rsidP="00F1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fr-FR"/>
              </w:rPr>
            </w:pPr>
            <w:hyperlink r:id="rId8" w:history="1">
              <w:r w:rsidR="00F131AA" w:rsidRPr="00747298">
                <w:rPr>
                  <w:rStyle w:val="Lienhypertexte"/>
                  <w:rFonts w:ascii="Times New Roman" w:hAnsi="Times New Roman" w:cs="Times New Roman"/>
                  <w:lang w:val="fr-FR"/>
                </w:rPr>
                <w:t>martine.zejgman@diplomatie.gouv.fr</w:t>
              </w:r>
            </w:hyperlink>
          </w:p>
        </w:tc>
      </w:tr>
      <w:tr w:rsidR="00F510E1" w:rsidRPr="00747298" w:rsidTr="00F510E1">
        <w:tc>
          <w:tcPr>
            <w:tcW w:w="5211" w:type="dxa"/>
          </w:tcPr>
          <w:p w:rsidR="00F510E1" w:rsidRPr="00747298" w:rsidRDefault="00F510E1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395" w:type="dxa"/>
          </w:tcPr>
          <w:p w:rsidR="00F510E1" w:rsidRPr="00747298" w:rsidRDefault="00F510E1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510E1" w:rsidRPr="00747298" w:rsidTr="00F510E1">
        <w:tc>
          <w:tcPr>
            <w:tcW w:w="5211" w:type="dxa"/>
          </w:tcPr>
          <w:p w:rsidR="00F510E1" w:rsidRPr="00747298" w:rsidRDefault="00F510E1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395" w:type="dxa"/>
          </w:tcPr>
          <w:p w:rsidR="00F510E1" w:rsidRPr="00747298" w:rsidRDefault="00F510E1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510E1" w:rsidRPr="00747298" w:rsidTr="00F510E1">
        <w:tc>
          <w:tcPr>
            <w:tcW w:w="5211" w:type="dxa"/>
            <w:hideMark/>
          </w:tcPr>
          <w:p w:rsidR="00F510E1" w:rsidRPr="00F055B1" w:rsidRDefault="00F510E1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fr-FR"/>
              </w:rPr>
            </w:pPr>
            <w:r w:rsidRPr="00F055B1">
              <w:rPr>
                <w:rFonts w:ascii="Times New Roman" w:hAnsi="Times New Roman" w:cs="Times New Roman"/>
                <w:lang w:val="fr-FR"/>
              </w:rPr>
              <w:t>Ambassade de France au Mexique – Institut</w:t>
            </w:r>
          </w:p>
          <w:p w:rsidR="00F510E1" w:rsidRPr="00F055B1" w:rsidRDefault="00F510E1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055B1">
              <w:rPr>
                <w:rFonts w:ascii="Times New Roman" w:hAnsi="Times New Roman" w:cs="Times New Roman"/>
              </w:rPr>
              <w:t>Français d’Amérique Latine – IFAL</w:t>
            </w:r>
          </w:p>
        </w:tc>
        <w:tc>
          <w:tcPr>
            <w:tcW w:w="4395" w:type="dxa"/>
          </w:tcPr>
          <w:p w:rsidR="00F510E1" w:rsidRPr="00F055B1" w:rsidRDefault="00F510E1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fr-FR"/>
              </w:rPr>
            </w:pPr>
            <w:r w:rsidRPr="00F055B1">
              <w:rPr>
                <w:rFonts w:ascii="Times New Roman" w:hAnsi="Times New Roman" w:cs="Times New Roman"/>
                <w:lang w:val="fr-FR"/>
              </w:rPr>
              <w:t>Luc Blanco, Attaché de coopération technique</w:t>
            </w:r>
          </w:p>
          <w:p w:rsidR="00F510E1" w:rsidRPr="00F055B1" w:rsidRDefault="00B3417C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fr-FR"/>
              </w:rPr>
            </w:pPr>
            <w:hyperlink r:id="rId9" w:history="1">
              <w:r w:rsidR="00F510E1" w:rsidRPr="00F055B1">
                <w:rPr>
                  <w:rStyle w:val="Lienhypertexte"/>
                  <w:rFonts w:ascii="Times New Roman" w:hAnsi="Times New Roman" w:cs="Times New Roman"/>
                  <w:lang w:val="fr-FR"/>
                </w:rPr>
                <w:t>Luc.blanco@ifal.mx</w:t>
              </w:r>
            </w:hyperlink>
            <w:r w:rsidR="00F510E1" w:rsidRPr="00F055B1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:rsidR="00F510E1" w:rsidRPr="00F055B1" w:rsidRDefault="00F510E1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fr-FR"/>
              </w:rPr>
            </w:pPr>
            <w:r w:rsidRPr="00F055B1">
              <w:rPr>
                <w:rFonts w:ascii="Times New Roman" w:hAnsi="Times New Roman" w:cs="Times New Roman"/>
                <w:lang w:val="fr-FR"/>
              </w:rPr>
              <w:t xml:space="preserve">Julie Clerc, Chargée de mission de coopération technique </w:t>
            </w:r>
            <w:hyperlink r:id="rId10" w:history="1">
              <w:r w:rsidRPr="00F055B1">
                <w:rPr>
                  <w:rStyle w:val="Lienhypertexte"/>
                  <w:rFonts w:ascii="Times New Roman" w:hAnsi="Times New Roman" w:cs="Times New Roman"/>
                  <w:lang w:val="fr-FR"/>
                </w:rPr>
                <w:t>julie.clerc@ifal.mx</w:t>
              </w:r>
            </w:hyperlink>
            <w:r w:rsidRPr="00F055B1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:rsidR="00F510E1" w:rsidRPr="00F055B1" w:rsidRDefault="00F510E1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510E1" w:rsidRPr="00747298" w:rsidTr="00F510E1">
        <w:tc>
          <w:tcPr>
            <w:tcW w:w="5211" w:type="dxa"/>
          </w:tcPr>
          <w:p w:rsidR="00F510E1" w:rsidRPr="00F055B1" w:rsidRDefault="00F510E1" w:rsidP="00BE4DA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395" w:type="dxa"/>
          </w:tcPr>
          <w:p w:rsidR="00F510E1" w:rsidRPr="00F055B1" w:rsidRDefault="00F510E1" w:rsidP="00BE4DA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510E1" w:rsidRPr="00F055B1" w:rsidTr="00F510E1">
        <w:tc>
          <w:tcPr>
            <w:tcW w:w="5211" w:type="dxa"/>
          </w:tcPr>
          <w:p w:rsidR="00F510E1" w:rsidRPr="00F055B1" w:rsidRDefault="00F510E1" w:rsidP="00BE4DA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  <w:r w:rsidRPr="00F055B1">
              <w:rPr>
                <w:rFonts w:ascii="Times New Roman" w:hAnsi="Times New Roman" w:cs="Times New Roman"/>
                <w:lang w:val="fr-FR"/>
              </w:rPr>
              <w:t>Ministère des Relations extérieures, Mexique (SRE) AMEXCID</w:t>
            </w:r>
          </w:p>
          <w:p w:rsidR="00F510E1" w:rsidRPr="00F055B1" w:rsidRDefault="00F510E1" w:rsidP="00BE4DA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</w:p>
          <w:p w:rsidR="00F510E1" w:rsidRPr="00F055B1" w:rsidRDefault="00F510E1" w:rsidP="00BE4DA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</w:p>
          <w:p w:rsidR="00F510E1" w:rsidRPr="00F055B1" w:rsidRDefault="00F510E1" w:rsidP="00BE4DA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</w:p>
          <w:p w:rsidR="00F510E1" w:rsidRPr="00F055B1" w:rsidRDefault="00F510E1" w:rsidP="00BE4DA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  <w:r w:rsidRPr="00F055B1">
              <w:rPr>
                <w:rFonts w:ascii="Times New Roman" w:hAnsi="Times New Roman" w:cs="Times New Roman"/>
                <w:lang w:val="fr-FR"/>
              </w:rPr>
              <w:t xml:space="preserve">Ambassade du Mexique en France </w:t>
            </w:r>
          </w:p>
        </w:tc>
        <w:tc>
          <w:tcPr>
            <w:tcW w:w="4395" w:type="dxa"/>
          </w:tcPr>
          <w:p w:rsidR="00F510E1" w:rsidRPr="00F055B1" w:rsidRDefault="00F510E1" w:rsidP="00BE4DA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055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Cristina Ruiz Ruiz –DGA/DGCTC/AMEXCID</w:t>
            </w:r>
          </w:p>
          <w:p w:rsidR="00F510E1" w:rsidRPr="00F055B1" w:rsidRDefault="00F510E1" w:rsidP="00BE4DA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s-ES"/>
              </w:rPr>
            </w:pPr>
            <w:r w:rsidRPr="00F055B1">
              <w:rPr>
                <w:rFonts w:ascii="Times New Roman" w:hAnsi="Times New Roman" w:cs="Times New Roman"/>
                <w:lang w:val="es-ES"/>
              </w:rPr>
              <w:t>Dirección General de Cooperación Técnica y Científica</w:t>
            </w:r>
          </w:p>
          <w:p w:rsidR="00F510E1" w:rsidRPr="00F055B1" w:rsidRDefault="00B3417C" w:rsidP="00BE4DA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s-ES"/>
              </w:rPr>
            </w:pPr>
            <w:hyperlink r:id="rId11" w:history="1">
              <w:r w:rsidR="00F510E1" w:rsidRPr="00F055B1">
                <w:rPr>
                  <w:rStyle w:val="Lienhypertexte"/>
                  <w:rFonts w:ascii="Times New Roman" w:hAnsi="Times New Roman" w:cs="Times New Roman"/>
                  <w:lang w:val="es-ES"/>
                </w:rPr>
                <w:t>dgctcinternacional@sre.gob.mx</w:t>
              </w:r>
            </w:hyperlink>
          </w:p>
          <w:p w:rsidR="00F510E1" w:rsidRPr="00F055B1" w:rsidRDefault="00F510E1" w:rsidP="00BE4DA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s-ES"/>
              </w:rPr>
            </w:pPr>
          </w:p>
          <w:p w:rsidR="00F510E1" w:rsidRPr="00F055B1" w:rsidRDefault="00F510E1" w:rsidP="00BE4DA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F055B1">
              <w:rPr>
                <w:rFonts w:ascii="Times New Roman" w:hAnsi="Times New Roman" w:cs="Times New Roman"/>
                <w:lang w:val="es-ES"/>
              </w:rPr>
              <w:t>Estefania</w:t>
            </w:r>
            <w:proofErr w:type="spellEnd"/>
            <w:r w:rsidRPr="00F055B1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F055B1">
              <w:rPr>
                <w:rFonts w:ascii="Times New Roman" w:hAnsi="Times New Roman" w:cs="Times New Roman"/>
                <w:lang w:val="es-ES"/>
              </w:rPr>
              <w:t>Angeles</w:t>
            </w:r>
            <w:proofErr w:type="spellEnd"/>
            <w:r w:rsidRPr="00F055B1">
              <w:rPr>
                <w:rFonts w:ascii="Times New Roman" w:hAnsi="Times New Roman" w:cs="Times New Roman"/>
                <w:lang w:val="es-ES"/>
              </w:rPr>
              <w:t xml:space="preserve"> Escudero</w:t>
            </w:r>
          </w:p>
          <w:p w:rsidR="00F510E1" w:rsidRPr="00F055B1" w:rsidRDefault="00F510E1" w:rsidP="00BE4D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s-ES"/>
              </w:rPr>
            </w:pPr>
            <w:r w:rsidRPr="00F055B1">
              <w:rPr>
                <w:rFonts w:ascii="Times New Roman" w:hAnsi="Times New Roman" w:cs="Times New Roman"/>
                <w:lang w:val="es-ES"/>
              </w:rPr>
              <w:t>Encargada de cooperación</w:t>
            </w:r>
          </w:p>
          <w:p w:rsidR="00F510E1" w:rsidRPr="00F055B1" w:rsidRDefault="00B3417C" w:rsidP="008F7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F510E1" w:rsidRPr="00F055B1">
                <w:rPr>
                  <w:rStyle w:val="Lienhypertexte"/>
                  <w:rFonts w:ascii="Times New Roman" w:hAnsi="Times New Roman" w:cs="Times New Roman"/>
                  <w:lang w:val="es-ES"/>
                </w:rPr>
                <w:t>eangeles@sre.gob.mx</w:t>
              </w:r>
            </w:hyperlink>
          </w:p>
        </w:tc>
      </w:tr>
    </w:tbl>
    <w:p w:rsidR="00733563" w:rsidRPr="00F055B1" w:rsidRDefault="00733563" w:rsidP="00BE4DA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733563" w:rsidRPr="00F055B1" w:rsidSect="00733563">
      <w:headerReference w:type="default" r:id="rId13"/>
      <w:pgSz w:w="12240" w:h="15840"/>
      <w:pgMar w:top="20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44" w:rsidRDefault="00615644" w:rsidP="00733563">
      <w:pPr>
        <w:spacing w:after="0" w:line="240" w:lineRule="auto"/>
      </w:pPr>
      <w:r>
        <w:separator/>
      </w:r>
    </w:p>
  </w:endnote>
  <w:endnote w:type="continuationSeparator" w:id="0">
    <w:p w:rsidR="00615644" w:rsidRDefault="00615644" w:rsidP="0073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 Italic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44" w:rsidRDefault="00615644" w:rsidP="00733563">
      <w:pPr>
        <w:spacing w:after="0" w:line="240" w:lineRule="auto"/>
      </w:pPr>
      <w:r>
        <w:separator/>
      </w:r>
    </w:p>
  </w:footnote>
  <w:footnote w:type="continuationSeparator" w:id="0">
    <w:p w:rsidR="00615644" w:rsidRDefault="00615644" w:rsidP="0073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63" w:rsidRDefault="00F131AA" w:rsidP="00F131AA">
    <w:pPr>
      <w:pStyle w:val="En-tte"/>
      <w:tabs>
        <w:tab w:val="clear" w:pos="4419"/>
        <w:tab w:val="center" w:pos="426"/>
      </w:tabs>
      <w:ind w:left="3544" w:hanging="3544"/>
    </w:pPr>
    <w:r w:rsidRPr="00DA5A42">
      <w:rPr>
        <w:noProof/>
        <w:lang w:val="fr-FR" w:eastAsia="fr-FR"/>
      </w:rPr>
      <w:drawing>
        <wp:inline distT="0" distB="0" distL="0" distR="0" wp14:anchorId="7E8A5311" wp14:editId="1BA1AD9C">
          <wp:extent cx="748780" cy="729903"/>
          <wp:effectExtent l="0" t="0" r="0" b="0"/>
          <wp:docPr id="7" name="Image 7" descr="logo_MAE-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MAE-N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00" cy="758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2AFE">
      <w:rPr>
        <w:noProof/>
        <w:lang w:val="fr-FR" w:eastAsia="fr-FR"/>
      </w:rPr>
      <w:drawing>
        <wp:inline distT="0" distB="0" distL="0" distR="0" wp14:anchorId="0123D11F" wp14:editId="561A3999">
          <wp:extent cx="1419225" cy="735178"/>
          <wp:effectExtent l="0" t="0" r="0" b="8255"/>
          <wp:docPr id="3" name="Imagen 3" descr="logo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DE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3" t="6902" r="9612" b="11427"/>
                  <a:stretch>
                    <a:fillRect/>
                  </a:stretch>
                </pic:blipFill>
                <pic:spPr bwMode="auto">
                  <a:xfrm>
                    <a:off x="0" y="0"/>
                    <a:ext cx="1417942" cy="73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DA5A42">
      <w:rPr>
        <w:noProof/>
        <w:lang w:val="fr-FR" w:eastAsia="fr-FR"/>
      </w:rPr>
      <w:drawing>
        <wp:inline distT="0" distB="0" distL="0" distR="0" wp14:anchorId="780538A9" wp14:editId="7B5BA0F4">
          <wp:extent cx="1821697" cy="610515"/>
          <wp:effectExtent l="0" t="0" r="762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045" cy="640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4AAF">
      <w:rPr>
        <w:b/>
        <w:noProof/>
        <w:lang w:val="fr-FR" w:eastAsia="fr-FR"/>
      </w:rPr>
      <w:drawing>
        <wp:inline distT="0" distB="0" distL="0" distR="0" wp14:anchorId="30B28FF0" wp14:editId="4D48BD6F">
          <wp:extent cx="1485900" cy="609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63"/>
    <w:rsid w:val="00192E38"/>
    <w:rsid w:val="00271351"/>
    <w:rsid w:val="004064DC"/>
    <w:rsid w:val="004A787D"/>
    <w:rsid w:val="00587C05"/>
    <w:rsid w:val="00615644"/>
    <w:rsid w:val="00661BE2"/>
    <w:rsid w:val="00733563"/>
    <w:rsid w:val="00747298"/>
    <w:rsid w:val="0076113D"/>
    <w:rsid w:val="008F760D"/>
    <w:rsid w:val="009537FD"/>
    <w:rsid w:val="009B61FF"/>
    <w:rsid w:val="00B3417C"/>
    <w:rsid w:val="00BE4DAE"/>
    <w:rsid w:val="00C87145"/>
    <w:rsid w:val="00CE203D"/>
    <w:rsid w:val="00D2556B"/>
    <w:rsid w:val="00D8332D"/>
    <w:rsid w:val="00F055B1"/>
    <w:rsid w:val="00F131AA"/>
    <w:rsid w:val="00F510E1"/>
    <w:rsid w:val="00F6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3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3563"/>
  </w:style>
  <w:style w:type="paragraph" w:styleId="Pieddepage">
    <w:name w:val="footer"/>
    <w:basedOn w:val="Normal"/>
    <w:link w:val="PieddepageCar"/>
    <w:uiPriority w:val="99"/>
    <w:unhideWhenUsed/>
    <w:rsid w:val="00733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3563"/>
  </w:style>
  <w:style w:type="paragraph" w:customStyle="1" w:styleId="Default">
    <w:name w:val="Default"/>
    <w:rsid w:val="00F51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CM9">
    <w:name w:val="CM9"/>
    <w:basedOn w:val="Default"/>
    <w:next w:val="Default"/>
    <w:rsid w:val="00F510E1"/>
    <w:rPr>
      <w:color w:val="auto"/>
    </w:rPr>
  </w:style>
  <w:style w:type="paragraph" w:customStyle="1" w:styleId="CM11">
    <w:name w:val="CM11"/>
    <w:basedOn w:val="Default"/>
    <w:next w:val="Default"/>
    <w:rsid w:val="00F510E1"/>
    <w:rPr>
      <w:color w:val="auto"/>
    </w:rPr>
  </w:style>
  <w:style w:type="character" w:styleId="Lienhypertexte">
    <w:name w:val="Hyperlink"/>
    <w:unhideWhenUsed/>
    <w:rsid w:val="00F510E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5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3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3563"/>
  </w:style>
  <w:style w:type="paragraph" w:styleId="Pieddepage">
    <w:name w:val="footer"/>
    <w:basedOn w:val="Normal"/>
    <w:link w:val="PieddepageCar"/>
    <w:uiPriority w:val="99"/>
    <w:unhideWhenUsed/>
    <w:rsid w:val="00733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3563"/>
  </w:style>
  <w:style w:type="paragraph" w:customStyle="1" w:styleId="Default">
    <w:name w:val="Default"/>
    <w:rsid w:val="00F51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CM9">
    <w:name w:val="CM9"/>
    <w:basedOn w:val="Default"/>
    <w:next w:val="Default"/>
    <w:rsid w:val="00F510E1"/>
    <w:rPr>
      <w:color w:val="auto"/>
    </w:rPr>
  </w:style>
  <w:style w:type="paragraph" w:customStyle="1" w:styleId="CM11">
    <w:name w:val="CM11"/>
    <w:basedOn w:val="Default"/>
    <w:next w:val="Default"/>
    <w:rsid w:val="00F510E1"/>
    <w:rPr>
      <w:color w:val="auto"/>
    </w:rPr>
  </w:style>
  <w:style w:type="character" w:styleId="Lienhypertexte">
    <w:name w:val="Hyperlink"/>
    <w:unhideWhenUsed/>
    <w:rsid w:val="00F510E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gctcinternacional@sre.gob.mx" TargetMode="External"/><Relationship Id="rId12" Type="http://schemas.openxmlformats.org/officeDocument/2006/relationships/hyperlink" Target="mailto:eangeles@sre.gob.mx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ertrand.fort@diplomatie.gouv.fr" TargetMode="External"/><Relationship Id="rId8" Type="http://schemas.openxmlformats.org/officeDocument/2006/relationships/hyperlink" Target="mailto:martine.zejgman@diplomatie.gouv.fr" TargetMode="External"/><Relationship Id="rId9" Type="http://schemas.openxmlformats.org/officeDocument/2006/relationships/hyperlink" Target="mailto:Luc.blanco@ifal.mx" TargetMode="External"/><Relationship Id="rId10" Type="http://schemas.openxmlformats.org/officeDocument/2006/relationships/hyperlink" Target="mailto:julie.clerc@ifal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1662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Clerc</dc:creator>
  <cp:lastModifiedBy>cuf</cp:lastModifiedBy>
  <cp:revision>2</cp:revision>
  <dcterms:created xsi:type="dcterms:W3CDTF">2015-07-21T10:52:00Z</dcterms:created>
  <dcterms:modified xsi:type="dcterms:W3CDTF">2015-07-21T10:52:00Z</dcterms:modified>
</cp:coreProperties>
</file>